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</w:rPr>
        <w:t>0001-01-2024-007755-76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Резолютивная часть п</w:t>
      </w:r>
      <w:r>
        <w:rPr>
          <w:rFonts w:ascii="Times New Roman" w:eastAsia="Times New Roman" w:hAnsi="Times New Roman" w:cs="Times New Roman"/>
        </w:rPr>
        <w:t>остановления объявлена 31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1"/>
        <w:gridCol w:w="47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467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03 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(628011, Ханты-Мансийский автономный округ – Югра, г. Ханты-Мансийск, ул. Ленина, дом 87),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предс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тавителей </w:t>
      </w:r>
      <w:r>
        <w:rPr>
          <w:rFonts w:ascii="Times New Roman" w:eastAsia="Times New Roman" w:hAnsi="Times New Roman" w:cs="Times New Roman"/>
          <w:sz w:val="28"/>
          <w:szCs w:val="28"/>
        </w:rPr>
        <w:t>Счетной палаты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на основании доверенностей №№ 1, 4 от </w:t>
      </w:r>
      <w:r>
        <w:rPr>
          <w:rStyle w:val="cat-UserDefinedgrp-7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 </w:t>
      </w:r>
      <w:r>
        <w:rPr>
          <w:rStyle w:val="cat-UserDefinedgrp-7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на основании доверенности </w:t>
      </w:r>
      <w:r>
        <w:rPr>
          <w:rStyle w:val="cat-UserDefinedgrp-7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Минулина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</w:t>
      </w:r>
      <w:r>
        <w:rPr>
          <w:rFonts w:ascii="Times New Roman" w:eastAsia="Times New Roman" w:hAnsi="Times New Roman" w:cs="Times New Roman"/>
          <w:sz w:val="28"/>
          <w:szCs w:val="28"/>
        </w:rPr>
        <w:t>Равильевича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6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Style w:val="cat-UserDefinedgrp-7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Хан</w:t>
      </w:r>
      <w:r>
        <w:rPr>
          <w:rFonts w:ascii="Times New Roman" w:eastAsia="Times New Roman" w:hAnsi="Times New Roman" w:cs="Times New Roman"/>
          <w:sz w:val="28"/>
          <w:szCs w:val="28"/>
        </w:rPr>
        <w:t>ты-Мансийский автономный округ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Югра, </w:t>
      </w:r>
      <w:r>
        <w:rPr>
          <w:rStyle w:val="cat-UserDefinedgrp-7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предусмотренного ч.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Style w:val="cat-UserDefinedgrp-7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Р., являясь главой Ханты-Мансийского района и исполняя свои обязанности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8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исполнил подпункт 1.1 пункта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 по устранению выяв</w:t>
      </w:r>
      <w:r>
        <w:rPr>
          <w:rFonts w:ascii="Times New Roman" w:eastAsia="Times New Roman" w:hAnsi="Times New Roman" w:cs="Times New Roman"/>
          <w:sz w:val="28"/>
          <w:szCs w:val="28"/>
        </w:rPr>
        <w:t>ленных нарушений и недостатков п</w:t>
      </w:r>
      <w:r>
        <w:rPr>
          <w:rFonts w:ascii="Times New Roman" w:eastAsia="Times New Roman" w:hAnsi="Times New Roman" w:cs="Times New Roman"/>
          <w:sz w:val="28"/>
          <w:szCs w:val="28"/>
        </w:rPr>
        <w:t>редписания Счетной палаты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га-Югры от </w:t>
      </w:r>
      <w:r>
        <w:rPr>
          <w:rStyle w:val="cat-UserDefinedgrp-80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о возврате средств субсидии администрацией Ханты-Мансийского района в адрес главы </w:t>
      </w:r>
      <w:r>
        <w:rPr>
          <w:rStyle w:val="cat-UserDefinedgrp-79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главы </w:t>
      </w:r>
      <w:r>
        <w:rPr>
          <w:rStyle w:val="cat-UserDefinedgrp-81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направлены </w:t>
      </w:r>
      <w:r>
        <w:rPr>
          <w:rStyle w:val="cat-UserDefinedgrp-21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установленном сроке исполнения до </w:t>
      </w:r>
      <w:r>
        <w:rPr>
          <w:rStyle w:val="cat-UserDefinedgrp-82rplc-4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UserDefinedgrp-84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присутствовал, о месте, дате и времени рассмотрения дела извещен надлежащим образом.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2 ст. 25.1 КоАП РФ, мировой судья определил рассмотреть дело в отсутствие </w:t>
      </w:r>
      <w:r>
        <w:rPr>
          <w:rStyle w:val="cat-UserDefinedgrp-83rplc-5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Счетной палаты Ханты-Мансийского автономного округа-Югры </w:t>
      </w:r>
      <w:r>
        <w:rPr>
          <w:rStyle w:val="cat-UserDefinedgrp-85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поддержали протокол по делу об административном правонарушении. Полагали, что представлено достаточно доказательств для привлечения </w:t>
      </w:r>
      <w:r>
        <w:rPr>
          <w:rStyle w:val="cat-UserDefinedgrp-83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ответственности. Указ</w:t>
      </w:r>
      <w:r>
        <w:rPr>
          <w:rFonts w:ascii="Times New Roman" w:eastAsia="Times New Roman" w:hAnsi="Times New Roman" w:cs="Times New Roman"/>
          <w:sz w:val="28"/>
          <w:szCs w:val="28"/>
        </w:rPr>
        <w:t>али, что срок по подпункту 1.1 пункта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редписания не продлевался и с таким заявлением привлекаемое лицо не обращалось в Счетную палату. Также,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подпункт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не признан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Арбитражным судом Ханты-Мансийского автономного округа-Югры.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Полагали, что не имеется оснований для прекращения производства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признании правонарушения малозначительным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замены штрафа на предупреждение. Пояснили, что протокол составлен с участием лица, привлекаемого к административной ответственности. При этом, старший инспектор </w:t>
      </w:r>
      <w:r>
        <w:rPr>
          <w:rStyle w:val="cat-UserDefinedgrp-86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согласовала посредством телефонной связи через приемную главы Ханты-Ман</w:t>
      </w:r>
      <w:r>
        <w:rPr>
          <w:rFonts w:ascii="Times New Roman" w:eastAsia="Times New Roman" w:hAnsi="Times New Roman" w:cs="Times New Roman"/>
          <w:sz w:val="28"/>
          <w:szCs w:val="28"/>
        </w:rPr>
        <w:t>сийского района дату и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протокола. Сослались на то, что ознакомить </w:t>
      </w:r>
      <w:r>
        <w:rPr>
          <w:rStyle w:val="cat-UserDefinedgrp-87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материалами дела об административном правонарушении не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илось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оно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суд. Кроме того, приказом Счетной палаты от </w:t>
      </w:r>
      <w:r>
        <w:rPr>
          <w:rStyle w:val="cat-UserDefinedgrp-89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срок контрольного мероприятия утвержден с 20.11.2023 до утверждения отчета о результатах контрольного мероприятия.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 результатах контрольного мероприятия был утвержден </w:t>
      </w:r>
      <w:r>
        <w:rPr>
          <w:rFonts w:ascii="Times New Roman" w:eastAsia="Times New Roman" w:hAnsi="Times New Roman" w:cs="Times New Roman"/>
          <w:sz w:val="28"/>
          <w:szCs w:val="28"/>
        </w:rPr>
        <w:t>26.04.2024.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UserDefinedgrp-90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действительно срок </w:t>
      </w:r>
      <w:r>
        <w:rPr>
          <w:rFonts w:ascii="Times New Roman" w:eastAsia="Times New Roman" w:hAnsi="Times New Roman" w:cs="Times New Roman"/>
          <w:sz w:val="28"/>
          <w:szCs w:val="28"/>
        </w:rPr>
        <w:t>был пропущен по исполнению подпункта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1.1 пункта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16.05.2024 года № 12 в части направления требований о возврате средств субсидии администрацией Ханты-Мансийского района в адрес: главы </w:t>
      </w:r>
      <w:r>
        <w:rPr>
          <w:rStyle w:val="cat-UserDefinedgrp-91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о возврате средств субсидии направлены </w:t>
      </w:r>
      <w:r>
        <w:rPr>
          <w:rStyle w:val="cat-UserDefinedgrp-21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с заявлением о продлении срока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подпункту 1.1 пункта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Счетную палату </w:t>
      </w:r>
      <w:r>
        <w:rPr>
          <w:rFonts w:ascii="Times New Roman" w:eastAsia="Times New Roman" w:hAnsi="Times New Roman" w:cs="Times New Roman"/>
          <w:sz w:val="28"/>
          <w:szCs w:val="28"/>
        </w:rPr>
        <w:t>Минулин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К.Р. </w:t>
      </w:r>
      <w:r>
        <w:rPr>
          <w:rFonts w:ascii="Times New Roman" w:eastAsia="Times New Roman" w:hAnsi="Times New Roman" w:cs="Times New Roman"/>
          <w:sz w:val="28"/>
          <w:szCs w:val="28"/>
        </w:rPr>
        <w:t>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ся, данный срок не продлевался.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Также, данный подпункт 1 пункта 1 </w:t>
      </w:r>
      <w:r>
        <w:rPr>
          <w:rFonts w:ascii="Times New Roman" w:eastAsia="Times New Roman" w:hAnsi="Times New Roman" w:cs="Times New Roman"/>
          <w:sz w:val="28"/>
          <w:szCs w:val="28"/>
        </w:rPr>
        <w:t>либо 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20rplc-7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признан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росил прекратить производство по делу в связи ненадлежащим извещением </w:t>
      </w:r>
      <w:r>
        <w:rPr>
          <w:rStyle w:val="cat-UserDefinedgrp-83rplc-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составления протокола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>Сослался на отсутствие ответа из Счетной палаты на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3rplc-8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</w:t>
      </w:r>
      <w:r>
        <w:rPr>
          <w:rFonts w:ascii="Times New Roman" w:eastAsia="Times New Roman" w:hAnsi="Times New Roman" w:cs="Times New Roman"/>
          <w:sz w:val="28"/>
          <w:szCs w:val="28"/>
        </w:rPr>
        <w:t>знакомление с материалами дела. Полагает, что имеются недостатки в протоколе об административном правонарушении, в частности, в описательной части указан срок проведения Счетной палатой контро</w:t>
      </w:r>
      <w:r>
        <w:rPr>
          <w:rFonts w:ascii="Times New Roman" w:eastAsia="Times New Roman" w:hAnsi="Times New Roman" w:cs="Times New Roman"/>
          <w:sz w:val="28"/>
          <w:szCs w:val="28"/>
        </w:rPr>
        <w:t>льного мероприятия в отношении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Ханты-Мансийского района с </w:t>
      </w:r>
      <w:r>
        <w:rPr>
          <w:rStyle w:val="cat-UserDefinedgrp-94rplc-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Однако, приказом Счетной палаты от </w:t>
      </w:r>
      <w:r>
        <w:rPr>
          <w:rStyle w:val="cat-UserDefinedgrp-93rplc-8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утверждения отчета о результатах контрольного мероприятия. Кроме того, в протоколе об административном правонарушении деяние, совершенное </w:t>
      </w:r>
      <w:r>
        <w:rPr>
          <w:rStyle w:val="cat-UserDefinedgrp-92rplc-9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20 ст.19.5 КоАП РФ как невыполнение в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нный срок законного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Счетной палаты, однако в диспозиции статьи указано на невыполнение в установленный срок представления органа государственного (муниципального) финансового контроля. Оспаривает предписание 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20rplc-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12, поскольку в нем отсутствуют положения закона, нарушенные Администрацией Ханты-Мансийского района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субсидий. Считает, что условия предоставления субсидий на поддержку и развитие малых форм хозяйствования соблюдены. Полагал возможным признать совершенное </w:t>
      </w:r>
      <w:r>
        <w:rPr>
          <w:rStyle w:val="cat-UserDefinedgrp-95rplc-9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малозначительным и освободить последнего от административной ответственности, поскольку допущенное нарушение не повлекло за собой существенное нарушение охраняемых общественных правоотношений и серьезных последствий в виде причинения вреда либо заменить штраф на предупреждение.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огласив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письменны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бездействии </w:t>
      </w:r>
      <w:r>
        <w:rPr>
          <w:rStyle w:val="cat-UserDefinedgrp-96rplc-9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состава административного правонарушения, предусмотренного ч. 20 ст. 19.5 КоАП РФ,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(представления) органа государственного (муниципального) финансового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3 ст. 266.1 Бюджетного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объекты контроля и их должностные лица обязаны своевременно и в полном объеме представлять в органы государственного (муниципального) финансового контроля по их запросам информацию, документы и материалы, необходимые для осуществления государственного (муниципального) финансового контроля, предоставлять должностным лицам органов государственного (муниципального) финансового контроля допуск указанных лиц в помещения и на территории объектов контроля, выполнять их законные требования.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или несвоевременное представление объектами контроля в органы государственного (муниципального) финансового контроля информации, документов и материалов, указанных в </w:t>
      </w:r>
      <w:hyperlink w:anchor="Par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абзаце первом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государственного (муниципального) финансового контроля влечет за собой ответственность, установленную законодательством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16 Федерального закона РФ от 07.02.2011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6-ФЗ «</w:t>
      </w:r>
      <w:r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рий и 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пункта 1 статьи 19 Закона Ханты-Мансийского автономного округа-Югры от 27.05.2011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51-оз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Счетной палате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Счетная палата по результатам проведения контрольных мероприятий вправе вносить в органы государственной власти и государственные органы автономного округа, органы местного самоуправления и муниципальные органы муниципальных образований автономного округа, проверяемые органы и организации и их должностным лицам представления для принятия мер по устранению выявленных нарушений и недостатков, предотвращению нанесения материального ущерба автономному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части 3 статьи 16 Федерального закона РФ № 6-Ф3, пункта 3 статьи 19 Закона № 51-оз органы государственной власти и государственные органы автономного округа, органы местного самоуправления и муниципальные органы муниципальных образований автономного округа, а также проверяемые органы и организации и их должностные лица в указанный в представлении срок или, если срок не указан, в течение 30 дней со дня его получения обязаны уведомить в письменной форме Счетную палату о принятых по результатам выполнения представления решениях и мерах.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решением Думы Ханты-Мансийского района от </w:t>
      </w:r>
      <w:r>
        <w:rPr>
          <w:rStyle w:val="cat-UserDefinedgrp-98rplc-10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избрании главы Ханты-Мансийского района» </w:t>
      </w:r>
      <w:r>
        <w:rPr>
          <w:rStyle w:val="cat-UserDefinedgrp-99rplc-10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избран на должность главы Ханты-М</w:t>
      </w:r>
      <w:r>
        <w:rPr>
          <w:rFonts w:ascii="Times New Roman" w:eastAsia="Times New Roman" w:hAnsi="Times New Roman" w:cs="Times New Roman"/>
          <w:sz w:val="28"/>
          <w:szCs w:val="28"/>
        </w:rPr>
        <w:t>ансийского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97rplc-1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 полномочия по адресу: 628011, Ханты-Мансийский автономный округ-Югра, </w:t>
      </w:r>
      <w:r>
        <w:rPr>
          <w:rStyle w:val="cat-UserDefinedgrp-100rplc-1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7rplc-1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установлена и подтверждается 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инистративном правонарушении от </w:t>
      </w:r>
      <w:r>
        <w:rPr>
          <w:rStyle w:val="cat-UserDefinedgrp-102rplc-1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12/2024, составленным с участием лица, привлекаемого к административной ответственности </w:t>
      </w:r>
      <w:r>
        <w:rPr>
          <w:rStyle w:val="cat-UserDefinedgrp-101rplc-1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приказа Счетной палаты Ханты-мансийского автономного округа-Югры от </w:t>
      </w:r>
      <w:r>
        <w:rPr>
          <w:rStyle w:val="cat-UserDefinedgrp-23rplc-1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83;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представления Счетной палаты Ханты-мансийского автономного округа-Югры от </w:t>
      </w:r>
      <w:r>
        <w:rPr>
          <w:rStyle w:val="cat-UserDefinedgrp-20rplc-1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12; копией писем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строительства, архитектуры и ЖКХ и первого заместителя главы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104rplc-1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письма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Счетной палаты от </w:t>
      </w:r>
      <w:r>
        <w:rPr>
          <w:rStyle w:val="cat-UserDefinedgrp-105rplc-1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письма Администрации Ханты-Мансийского района от 02.11.2024; требованиями Администрации Ханты-Мансийского района о возврате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>, адресованными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предпринимателям главам </w:t>
      </w:r>
      <w:r>
        <w:rPr>
          <w:rStyle w:val="cat-UserDefinedgrp-103rplc-1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 от </w:t>
      </w:r>
      <w:r>
        <w:rPr>
          <w:rStyle w:val="cat-UserDefinedgrp-21rplc-1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выпиской из протокола заседания Счетной палаты Ханты-Мансийского автономного округа-Югры от 14.11.2024 № 22.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пункту 1.3 раздела I Плана работы Счетной палаты на 2023 год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приказу Счетной палаты от </w:t>
      </w:r>
      <w:r>
        <w:rPr>
          <w:rStyle w:val="cat-UserDefinedgrp-23rplc-1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83 «О проведении контрольного мероприятия» Счетной палатой проведено контрольное мероприятие «Проверка законности, результативности (эффективности) использования средств бюджета Ханты-Мансийского автономного округа - Югры при исполнении бюджета муниципального образования Ханты-Мансийский район - получателя межбюджетных трансфертов из бюджета Ханты-Мансийского автономного округа - Югры».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проведения Контрольного мероприятия определен приказом Счетной палаты № 83 с 20.11.2023 до 26.04.2024.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Счетной палатой Ханты-Мансийского автономного округа-Югры </w:t>
      </w:r>
      <w:r>
        <w:rPr>
          <w:rStyle w:val="cat-UserDefinedgrp-20rplc-1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выдано представление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имя главы 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Минулина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К.Р. </w:t>
      </w:r>
      <w:r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«Проверка законности, результативности (эффективности) использования средств бюджета Ханты-Мансийского автономного округа-Югры при исполнении бюджета муниципального образования Ханты-Мансийский район - получателя межбюджетных трансферов из бюджета Ханты-Мансийского автономного округа-Югры»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получено Администрацией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17.05.2024.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подпункту 1.1 пункта 1 мер по устранению выявленных нарушений и недостатков представления Администрации Ханты-Мансийского района предлагалось направить требование о возврате средств субсидии в бюджет Ханты-Мансийского района: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Fonts w:ascii="Times New Roman" w:eastAsia="Times New Roman" w:hAnsi="Times New Roman" w:cs="Times New Roman"/>
          <w:sz w:val="28"/>
          <w:szCs w:val="28"/>
        </w:rPr>
        <w:t>Юграэнерго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Style w:val="cat-UserDefinedgrp-106rplc-1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r>
        <w:rPr>
          <w:rStyle w:val="cat-UserDefinedgrp-107rplc-16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Обращений о продлении срока исполнения по подпункту 1.1 п</w:t>
      </w:r>
      <w:r>
        <w:rPr>
          <w:rFonts w:ascii="Times New Roman" w:eastAsia="Times New Roman" w:hAnsi="Times New Roman" w:cs="Times New Roman"/>
          <w:sz w:val="28"/>
          <w:szCs w:val="28"/>
        </w:rPr>
        <w:t>ункта 1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редставления от </w:t>
      </w:r>
      <w:r>
        <w:rPr>
          <w:rStyle w:val="cat-UserDefinedgrp-20rplc-1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 в адрес Счетной палаты не поступало.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подпункт 1.1 пункта 1 представления № 12 от </w:t>
      </w:r>
      <w:r>
        <w:rPr>
          <w:rStyle w:val="cat-UserDefinedgrp-20rplc-1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незаконным не признан.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Style w:val="cat-UserDefinedgrp-109rplc-17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Счетной палаты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-Югры направлена информация по исполнению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подпункта 1.2 пункта 1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пунктов 2.1 и 2.2 предписания от </w:t>
      </w:r>
      <w:r>
        <w:rPr>
          <w:rStyle w:val="cat-UserDefinedgrp-20rplc-1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Счетной палаты от </w:t>
      </w:r>
      <w:r>
        <w:rPr>
          <w:rStyle w:val="cat-UserDefinedgrp-33rplc-1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1191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по пункту 1.1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редставления принята частично,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 информация о направлении требования о возврате средств субсидии в б</w:t>
      </w:r>
      <w:r>
        <w:rPr>
          <w:rFonts w:ascii="Times New Roman" w:eastAsia="Times New Roman" w:hAnsi="Times New Roman" w:cs="Times New Roman"/>
          <w:sz w:val="28"/>
          <w:szCs w:val="28"/>
        </w:rPr>
        <w:t>юджет Ханты-М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ансийского района: </w:t>
      </w:r>
      <w:r>
        <w:rPr>
          <w:rStyle w:val="cat-UserDefinedgrp-108rplc-17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принятых решениях и мерах по результатам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1.1 пункта 1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20rplc-1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Счетной палаты направлена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02.11.2024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>
        <w:rPr>
          <w:rStyle w:val="cat-UserDefinedgrp-21rplc-1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министрацией Ханты-Мансийского района в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 глав крестьянских (фермерских) хозяйств </w:t>
      </w:r>
      <w:r>
        <w:rPr>
          <w:rStyle w:val="cat-UserDefinedgrp-110rplc-18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направлены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 о возврате субсидий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выписки из протокола заседания Счетной палаты Ханты-Мансийского автономного округа-Югры № 22 от </w:t>
      </w:r>
      <w:r>
        <w:rPr>
          <w:rStyle w:val="cat-UserDefinedgrp-112rplc-19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Счетной палаты от </w:t>
      </w:r>
      <w:r>
        <w:rPr>
          <w:rStyle w:val="cat-UserDefinedgrp-20rplc-19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 снято с контроля, установлено при этом несвоевременное исполнение подпункта 1.1 пункта 1 мер по устранению выявленных нарушений и недостатков представления, в отношении крестьянского (фермерского) хозяйства </w:t>
      </w:r>
      <w:r>
        <w:rPr>
          <w:rStyle w:val="cat-UserDefinedgrp-113rplc-19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крестьянского (фермерского) хозяйства </w:t>
      </w:r>
      <w:r>
        <w:rPr>
          <w:rStyle w:val="cat-UserDefinedgrp-111rplc-19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представления административного органа предполагает указание на нарушенную норму закона, четкую формулировку относительно конкретных действий, которые необходимо совершить исполнителю, и которые должны быть направлены на прекращение и устранение выявленного нарушения и недостатков. Представление административного органа должно быть исполнимым.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рассмотрении дела установлено, что </w:t>
      </w:r>
      <w:r>
        <w:rPr>
          <w:rStyle w:val="cat-UserDefinedgrp-114rplc-19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главой Ханты-Мансийского района,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несвоевременно выполнил подпункт 1 пункта 1 представления от </w:t>
      </w:r>
      <w:r>
        <w:rPr>
          <w:rStyle w:val="cat-UserDefinedgrp-20rplc-2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 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направления требований о возврате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адрес главы КФХ </w:t>
      </w:r>
      <w:r>
        <w:rPr>
          <w:rStyle w:val="cat-UserDefinedgrp-115rplc-20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главы КФХ </w:t>
      </w:r>
      <w:r>
        <w:rPr>
          <w:rStyle w:val="cat-UserDefinedgrp-111rplc-20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Указанное представление в данной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критерию исполнимости,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выдаче представления </w:t>
      </w:r>
      <w:r>
        <w:rPr>
          <w:rStyle w:val="cat-UserDefinedgrp-20rplc-2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 срок его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UserDefinedgrp-82rplc-20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Так, в соответствии с требованиями ст.26.1 КоАП РФ установлены наличие события административного правонарушения, должностное лицо, не выполнившее содержащееся в подпункте 1.1 пункта 1 представлении требование о принятии мер по устранению выявленных нарушений и недостатков, в части несвоевременного направления требований о возврате средств субсидий в адрес главы КФХ </w:t>
      </w:r>
      <w:r>
        <w:rPr>
          <w:rStyle w:val="cat-UserDefinedgrp-116rplc-2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прекращении производства по делу об административном правонарушении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неизвещением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3rplc-2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месте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материалами дела об административном правонарушении отклоняю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Style w:val="cat-UserDefinedgrp-118rplc-2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извещен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составление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не противоречит требованиям, установленным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 по делу об административном правонарушении составлен в присутствии лица, привлекаемого к административной ответственности.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согласно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13.12.2024 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аппарата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Счетной палаты </w:t>
      </w:r>
      <w:r>
        <w:rPr>
          <w:rStyle w:val="cat-UserDefinedgrp-117rplc-2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отказано в ознакомлении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материалами дела об административном правонарушении, поскольку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и ин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 направлены в Ханты-Мансийский районный суд в целях исполнения ч. 1 ст. 28.8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Оспаривание защитником представления Счетной палаты от </w:t>
      </w:r>
      <w:r>
        <w:rPr>
          <w:rStyle w:val="cat-UserDefinedgrp-20rplc-2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 и подпункта 1.1 пункта 1 представления необоснованно, поскольку в установленном порядке данное представление не признано незаконным.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тем, определением Арбитражного суда Ханты-Мансийского автономного округа-Югры от 03.10.2024 по делу № А75-11032/2024 принят отказ администрации Ханты-Мансийского района от заявленных требований о пр</w:t>
      </w:r>
      <w:r>
        <w:rPr>
          <w:rFonts w:ascii="Times New Roman" w:eastAsia="Times New Roman" w:hAnsi="Times New Roman" w:cs="Times New Roman"/>
          <w:sz w:val="28"/>
          <w:szCs w:val="28"/>
        </w:rPr>
        <w:t>изнании незаконными пунктов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1.2 и 1.3 представления № 12 от </w:t>
      </w:r>
      <w:r>
        <w:rPr>
          <w:rStyle w:val="cat-UserDefinedgrp-20rplc-2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 защитника о том, что в протоколе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указано на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9rplc-2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по ч. 20 ст. 19.5 КоАП РФ как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представления Счетной палаты, однако в диспозиции статьи указано на невыполнение в установленный срок представления органа государственного (муниц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ипального) финансового контроля отклоняется, поскольку Счетная палата Ханты-Мансийского автономного округа является таковым органом.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о признании правонарушения малозначительным либо замене штрафа на предупреждение, отклоняются.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татья 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 является императивной нормой и предписывает обязательность освобождения от административной ответственности за малозначительностью правонарушения, а предоставляет право суду принять такое решение при наличии надлежащих обстоятельств.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разъяснением, содержащимся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Квалификация правонарушения как малозначительного может иметь место только в исключительных случаях, что в рассм</w:t>
      </w:r>
      <w:r>
        <w:rPr>
          <w:rFonts w:ascii="Times New Roman" w:eastAsia="Times New Roman" w:hAnsi="Times New Roman" w:cs="Times New Roman"/>
          <w:sz w:val="28"/>
          <w:szCs w:val="28"/>
        </w:rPr>
        <w:t>атриваемом деле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</w:t>
      </w:r>
      <w:r>
        <w:rPr>
          <w:rFonts w:ascii="Times New Roman" w:eastAsia="Times New Roman" w:hAnsi="Times New Roman" w:cs="Times New Roman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4.1.1 КоАП РФ за впервые совершенное административное правонарушение, выявленное в ходе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dst1001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dst21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anchor="dst72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13.15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13.37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15.27.3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19.4.3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статьи 19.27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20.28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остальным доводам защитника мировой судья относится критически и расценивает, как способ уйти от ответственности </w:t>
      </w:r>
      <w:r>
        <w:rPr>
          <w:rStyle w:val="cat-UserDefinedgrp-87rplc-2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содеянное.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Минулина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К.Р., его имущественного положения, состояния здоровья, а также с учетом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им правонарушения, мировой судья считает возможным назначить наказание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минимальном размере,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санкцией </w:t>
      </w:r>
      <w:r>
        <w:rPr>
          <w:rFonts w:ascii="Times New Roman" w:eastAsia="Times New Roman" w:hAnsi="Times New Roman" w:cs="Times New Roman"/>
          <w:sz w:val="28"/>
          <w:szCs w:val="28"/>
        </w:rPr>
        <w:t>ч.20 ст.19.5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23.1, 29.9 –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UserDefinedgrp-120rplc-2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20 статьи 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UserDefinedgrp-121rplc-2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по следующим реквизитам: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122rplc-23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части 5 статьи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на оплату штрафа судья, вынесший постановление, направляет копию постановления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ст.32.2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 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 - </w:t>
      </w:r>
      <w:r>
        <w:rPr>
          <w:rFonts w:ascii="Times New Roman" w:eastAsia="Times New Roman" w:hAnsi="Times New Roman" w:cs="Times New Roman"/>
          <w:sz w:val="28"/>
          <w:szCs w:val="28"/>
        </w:rPr>
        <w:t>Югры в течение десяти дней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pStyle w:val="Heading1"/>
        <w:keepNext w:val="0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3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0492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71rplc-10">
    <w:name w:val="cat-UserDefined grp-71 rplc-10"/>
    <w:basedOn w:val="DefaultParagraphFont"/>
  </w:style>
  <w:style w:type="character" w:customStyle="1" w:styleId="cat-UserDefinedgrp-72rplc-12">
    <w:name w:val="cat-UserDefined grp-72 rplc-12"/>
    <w:basedOn w:val="DefaultParagraphFont"/>
  </w:style>
  <w:style w:type="character" w:customStyle="1" w:styleId="cat-UserDefinedgrp-70rplc-15">
    <w:name w:val="cat-UserDefined grp-70 rplc-15"/>
    <w:basedOn w:val="DefaultParagraphFont"/>
  </w:style>
  <w:style w:type="character" w:customStyle="1" w:styleId="cat-UserDefinedgrp-73rplc-16">
    <w:name w:val="cat-UserDefined grp-73 rplc-16"/>
    <w:basedOn w:val="DefaultParagraphFont"/>
  </w:style>
  <w:style w:type="character" w:customStyle="1" w:styleId="cat-UserDefinedgrp-68rplc-20">
    <w:name w:val="cat-UserDefined grp-68 rplc-20"/>
    <w:basedOn w:val="DefaultParagraphFont"/>
  </w:style>
  <w:style w:type="character" w:customStyle="1" w:styleId="cat-UserDefinedgrp-74rplc-23">
    <w:name w:val="cat-UserDefined grp-74 rplc-23"/>
    <w:basedOn w:val="DefaultParagraphFont"/>
  </w:style>
  <w:style w:type="character" w:customStyle="1" w:styleId="cat-UserDefinedgrp-75rplc-26">
    <w:name w:val="cat-UserDefined grp-75 rplc-26"/>
    <w:basedOn w:val="DefaultParagraphFont"/>
  </w:style>
  <w:style w:type="character" w:customStyle="1" w:styleId="cat-UserDefinedgrp-77rplc-32">
    <w:name w:val="cat-UserDefined grp-77 rplc-32"/>
    <w:basedOn w:val="DefaultParagraphFont"/>
  </w:style>
  <w:style w:type="character" w:customStyle="1" w:styleId="cat-UserDefinedgrp-78rplc-37">
    <w:name w:val="cat-UserDefined grp-78 rplc-37"/>
    <w:basedOn w:val="DefaultParagraphFont"/>
  </w:style>
  <w:style w:type="character" w:customStyle="1" w:styleId="cat-UserDefinedgrp-80rplc-39">
    <w:name w:val="cat-UserDefined grp-80 rplc-39"/>
    <w:basedOn w:val="DefaultParagraphFont"/>
  </w:style>
  <w:style w:type="character" w:customStyle="1" w:styleId="cat-UserDefinedgrp-79rplc-41">
    <w:name w:val="cat-UserDefined grp-79 rplc-41"/>
    <w:basedOn w:val="DefaultParagraphFont"/>
  </w:style>
  <w:style w:type="character" w:customStyle="1" w:styleId="cat-UserDefinedgrp-81rplc-43">
    <w:name w:val="cat-UserDefined grp-81 rplc-43"/>
    <w:basedOn w:val="DefaultParagraphFont"/>
  </w:style>
  <w:style w:type="character" w:customStyle="1" w:styleId="cat-UserDefinedgrp-21rplc-45">
    <w:name w:val="cat-UserDefined grp-21 rplc-45"/>
    <w:basedOn w:val="DefaultParagraphFont"/>
  </w:style>
  <w:style w:type="character" w:customStyle="1" w:styleId="cat-UserDefinedgrp-82rplc-48">
    <w:name w:val="cat-UserDefined grp-82 rplc-48"/>
    <w:basedOn w:val="DefaultParagraphFont"/>
  </w:style>
  <w:style w:type="character" w:customStyle="1" w:styleId="cat-UserDefinedgrp-84rplc-50">
    <w:name w:val="cat-UserDefined grp-84 rplc-50"/>
    <w:basedOn w:val="DefaultParagraphFont"/>
  </w:style>
  <w:style w:type="character" w:customStyle="1" w:styleId="cat-UserDefinedgrp-83rplc-52">
    <w:name w:val="cat-UserDefined grp-83 rplc-52"/>
    <w:basedOn w:val="DefaultParagraphFont"/>
  </w:style>
  <w:style w:type="character" w:customStyle="1" w:styleId="cat-UserDefinedgrp-85rplc-54">
    <w:name w:val="cat-UserDefined grp-85 rplc-54"/>
    <w:basedOn w:val="DefaultParagraphFont"/>
  </w:style>
  <w:style w:type="character" w:customStyle="1" w:styleId="cat-UserDefinedgrp-83rplc-56">
    <w:name w:val="cat-UserDefined grp-83 rplc-56"/>
    <w:basedOn w:val="DefaultParagraphFont"/>
  </w:style>
  <w:style w:type="character" w:customStyle="1" w:styleId="cat-UserDefinedgrp-86rplc-58">
    <w:name w:val="cat-UserDefined grp-86 rplc-58"/>
    <w:basedOn w:val="DefaultParagraphFont"/>
  </w:style>
  <w:style w:type="character" w:customStyle="1" w:styleId="cat-UserDefinedgrp-87rplc-61">
    <w:name w:val="cat-UserDefined grp-87 rplc-61"/>
    <w:basedOn w:val="DefaultParagraphFont"/>
  </w:style>
  <w:style w:type="character" w:customStyle="1" w:styleId="cat-UserDefinedgrp-89rplc-64">
    <w:name w:val="cat-UserDefined grp-89 rplc-64"/>
    <w:basedOn w:val="DefaultParagraphFont"/>
  </w:style>
  <w:style w:type="character" w:customStyle="1" w:styleId="cat-UserDefinedgrp-90rplc-68">
    <w:name w:val="cat-UserDefined grp-90 rplc-68"/>
    <w:basedOn w:val="DefaultParagraphFont"/>
  </w:style>
  <w:style w:type="character" w:customStyle="1" w:styleId="cat-UserDefinedgrp-91rplc-72">
    <w:name w:val="cat-UserDefined grp-91 rplc-72"/>
    <w:basedOn w:val="DefaultParagraphFont"/>
  </w:style>
  <w:style w:type="character" w:customStyle="1" w:styleId="cat-UserDefinedgrp-21rplc-76">
    <w:name w:val="cat-UserDefined grp-21 rplc-76"/>
    <w:basedOn w:val="DefaultParagraphFont"/>
  </w:style>
  <w:style w:type="character" w:customStyle="1" w:styleId="cat-UserDefinedgrp-20rplc-78">
    <w:name w:val="cat-UserDefined grp-20 rplc-78"/>
    <w:basedOn w:val="DefaultParagraphFont"/>
  </w:style>
  <w:style w:type="character" w:customStyle="1" w:styleId="cat-UserDefinedgrp-83rplc-79">
    <w:name w:val="cat-UserDefined grp-83 rplc-79"/>
    <w:basedOn w:val="DefaultParagraphFont"/>
  </w:style>
  <w:style w:type="character" w:customStyle="1" w:styleId="cat-UserDefinedgrp-83rplc-82">
    <w:name w:val="cat-UserDefined grp-83 rplc-82"/>
    <w:basedOn w:val="DefaultParagraphFont"/>
  </w:style>
  <w:style w:type="character" w:customStyle="1" w:styleId="cat-UserDefinedgrp-94rplc-85">
    <w:name w:val="cat-UserDefined grp-94 rplc-85"/>
    <w:basedOn w:val="DefaultParagraphFont"/>
  </w:style>
  <w:style w:type="character" w:customStyle="1" w:styleId="cat-UserDefinedgrp-93rplc-88">
    <w:name w:val="cat-UserDefined grp-93 rplc-88"/>
    <w:basedOn w:val="DefaultParagraphFont"/>
  </w:style>
  <w:style w:type="character" w:customStyle="1" w:styleId="cat-UserDefinedgrp-92rplc-91">
    <w:name w:val="cat-UserDefined grp-92 rplc-91"/>
    <w:basedOn w:val="DefaultParagraphFont"/>
  </w:style>
  <w:style w:type="character" w:customStyle="1" w:styleId="cat-UserDefinedgrp-20rplc-92">
    <w:name w:val="cat-UserDefined grp-20 rplc-92"/>
    <w:basedOn w:val="DefaultParagraphFont"/>
  </w:style>
  <w:style w:type="character" w:customStyle="1" w:styleId="cat-UserDefinedgrp-95rplc-95">
    <w:name w:val="cat-UserDefined grp-95 rplc-95"/>
    <w:basedOn w:val="DefaultParagraphFont"/>
  </w:style>
  <w:style w:type="character" w:customStyle="1" w:styleId="cat-UserDefinedgrp-96rplc-96">
    <w:name w:val="cat-UserDefined grp-96 rplc-96"/>
    <w:basedOn w:val="DefaultParagraphFont"/>
  </w:style>
  <w:style w:type="character" w:customStyle="1" w:styleId="cat-UserDefinedgrp-98rplc-105">
    <w:name w:val="cat-UserDefined grp-98 rplc-105"/>
    <w:basedOn w:val="DefaultParagraphFont"/>
  </w:style>
  <w:style w:type="character" w:customStyle="1" w:styleId="cat-UserDefinedgrp-99rplc-107">
    <w:name w:val="cat-UserDefined grp-99 rplc-107"/>
    <w:basedOn w:val="DefaultParagraphFont"/>
  </w:style>
  <w:style w:type="character" w:customStyle="1" w:styleId="cat-UserDefinedgrp-97rplc-110">
    <w:name w:val="cat-UserDefined grp-97 rplc-110"/>
    <w:basedOn w:val="DefaultParagraphFont"/>
  </w:style>
  <w:style w:type="character" w:customStyle="1" w:styleId="cat-UserDefinedgrp-100rplc-115">
    <w:name w:val="cat-UserDefined grp-100 rplc-115"/>
    <w:basedOn w:val="DefaultParagraphFont"/>
  </w:style>
  <w:style w:type="character" w:customStyle="1" w:styleId="cat-UserDefinedgrp-87rplc-116">
    <w:name w:val="cat-UserDefined grp-87 rplc-116"/>
    <w:basedOn w:val="DefaultParagraphFont"/>
  </w:style>
  <w:style w:type="character" w:customStyle="1" w:styleId="cat-UserDefinedgrp-102rplc-119">
    <w:name w:val="cat-UserDefined grp-102 rplc-119"/>
    <w:basedOn w:val="DefaultParagraphFont"/>
  </w:style>
  <w:style w:type="character" w:customStyle="1" w:styleId="cat-UserDefinedgrp-101rplc-121">
    <w:name w:val="cat-UserDefined grp-101 rplc-121"/>
    <w:basedOn w:val="DefaultParagraphFont"/>
  </w:style>
  <w:style w:type="character" w:customStyle="1" w:styleId="cat-UserDefinedgrp-23rplc-123">
    <w:name w:val="cat-UserDefined grp-23 rplc-123"/>
    <w:basedOn w:val="DefaultParagraphFont"/>
  </w:style>
  <w:style w:type="character" w:customStyle="1" w:styleId="cat-UserDefinedgrp-20rplc-124">
    <w:name w:val="cat-UserDefined grp-20 rplc-124"/>
    <w:basedOn w:val="DefaultParagraphFont"/>
  </w:style>
  <w:style w:type="character" w:customStyle="1" w:styleId="cat-UserDefinedgrp-104rplc-128">
    <w:name w:val="cat-UserDefined grp-104 rplc-128"/>
    <w:basedOn w:val="DefaultParagraphFont"/>
  </w:style>
  <w:style w:type="character" w:customStyle="1" w:styleId="cat-UserDefinedgrp-105rplc-131">
    <w:name w:val="cat-UserDefined grp-105 rplc-131"/>
    <w:basedOn w:val="DefaultParagraphFont"/>
  </w:style>
  <w:style w:type="character" w:customStyle="1" w:styleId="cat-UserDefinedgrp-103rplc-135">
    <w:name w:val="cat-UserDefined grp-103 rplc-135"/>
    <w:basedOn w:val="DefaultParagraphFont"/>
  </w:style>
  <w:style w:type="character" w:customStyle="1" w:styleId="cat-UserDefinedgrp-21rplc-138">
    <w:name w:val="cat-UserDefined grp-21 rplc-138"/>
    <w:basedOn w:val="DefaultParagraphFont"/>
  </w:style>
  <w:style w:type="character" w:customStyle="1" w:styleId="cat-UserDefinedgrp-23rplc-141">
    <w:name w:val="cat-UserDefined grp-23 rplc-141"/>
    <w:basedOn w:val="DefaultParagraphFont"/>
  </w:style>
  <w:style w:type="character" w:customStyle="1" w:styleId="cat-UserDefinedgrp-20rplc-149">
    <w:name w:val="cat-UserDefined grp-20 rplc-149"/>
    <w:basedOn w:val="DefaultParagraphFont"/>
  </w:style>
  <w:style w:type="character" w:customStyle="1" w:styleId="cat-UserDefinedgrp-106rplc-158">
    <w:name w:val="cat-UserDefined grp-106 rplc-158"/>
    <w:basedOn w:val="DefaultParagraphFont"/>
  </w:style>
  <w:style w:type="character" w:customStyle="1" w:styleId="cat-UserDefinedgrp-107rplc-160">
    <w:name w:val="cat-UserDefined grp-107 rplc-160"/>
    <w:basedOn w:val="DefaultParagraphFont"/>
  </w:style>
  <w:style w:type="character" w:customStyle="1" w:styleId="cat-UserDefinedgrp-20rplc-168">
    <w:name w:val="cat-UserDefined grp-20 rplc-168"/>
    <w:basedOn w:val="DefaultParagraphFont"/>
  </w:style>
  <w:style w:type="character" w:customStyle="1" w:styleId="cat-UserDefinedgrp-20rplc-169">
    <w:name w:val="cat-UserDefined grp-20 rplc-169"/>
    <w:basedOn w:val="DefaultParagraphFont"/>
  </w:style>
  <w:style w:type="character" w:customStyle="1" w:styleId="cat-UserDefinedgrp-109rplc-171">
    <w:name w:val="cat-UserDefined grp-109 rplc-171"/>
    <w:basedOn w:val="DefaultParagraphFont"/>
  </w:style>
  <w:style w:type="character" w:customStyle="1" w:styleId="cat-UserDefinedgrp-20rplc-173">
    <w:name w:val="cat-UserDefined grp-20 rplc-173"/>
    <w:basedOn w:val="DefaultParagraphFont"/>
  </w:style>
  <w:style w:type="character" w:customStyle="1" w:styleId="cat-UserDefinedgrp-33rplc-175">
    <w:name w:val="cat-UserDefined grp-33 rplc-175"/>
    <w:basedOn w:val="DefaultParagraphFont"/>
  </w:style>
  <w:style w:type="character" w:customStyle="1" w:styleId="cat-UserDefinedgrp-108rplc-177">
    <w:name w:val="cat-UserDefined grp-108 rplc-177"/>
    <w:basedOn w:val="DefaultParagraphFont"/>
  </w:style>
  <w:style w:type="character" w:customStyle="1" w:styleId="cat-UserDefinedgrp-20rplc-184">
    <w:name w:val="cat-UserDefined grp-20 rplc-184"/>
    <w:basedOn w:val="DefaultParagraphFont"/>
  </w:style>
  <w:style w:type="character" w:customStyle="1" w:styleId="cat-UserDefinedgrp-21rplc-186">
    <w:name w:val="cat-UserDefined grp-21 rplc-186"/>
    <w:basedOn w:val="DefaultParagraphFont"/>
  </w:style>
  <w:style w:type="character" w:customStyle="1" w:styleId="cat-UserDefinedgrp-110rplc-189">
    <w:name w:val="cat-UserDefined grp-110 rplc-189"/>
    <w:basedOn w:val="DefaultParagraphFont"/>
  </w:style>
  <w:style w:type="character" w:customStyle="1" w:styleId="cat-UserDefinedgrp-112rplc-192">
    <w:name w:val="cat-UserDefined grp-112 rplc-192"/>
    <w:basedOn w:val="DefaultParagraphFont"/>
  </w:style>
  <w:style w:type="character" w:customStyle="1" w:styleId="cat-UserDefinedgrp-20rplc-193">
    <w:name w:val="cat-UserDefined grp-20 rplc-193"/>
    <w:basedOn w:val="DefaultParagraphFont"/>
  </w:style>
  <w:style w:type="character" w:customStyle="1" w:styleId="cat-UserDefinedgrp-113rplc-194">
    <w:name w:val="cat-UserDefined grp-113 rplc-194"/>
    <w:basedOn w:val="DefaultParagraphFont"/>
  </w:style>
  <w:style w:type="character" w:customStyle="1" w:styleId="cat-UserDefinedgrp-111rplc-197">
    <w:name w:val="cat-UserDefined grp-111 rplc-197"/>
    <w:basedOn w:val="DefaultParagraphFont"/>
  </w:style>
  <w:style w:type="character" w:customStyle="1" w:styleId="cat-UserDefinedgrp-114rplc-199">
    <w:name w:val="cat-UserDefined grp-114 rplc-199"/>
    <w:basedOn w:val="DefaultParagraphFont"/>
  </w:style>
  <w:style w:type="character" w:customStyle="1" w:styleId="cat-UserDefinedgrp-20rplc-201">
    <w:name w:val="cat-UserDefined grp-20 rplc-201"/>
    <w:basedOn w:val="DefaultParagraphFont"/>
  </w:style>
  <w:style w:type="character" w:customStyle="1" w:styleId="cat-UserDefinedgrp-115rplc-202">
    <w:name w:val="cat-UserDefined grp-115 rplc-202"/>
    <w:basedOn w:val="DefaultParagraphFont"/>
  </w:style>
  <w:style w:type="character" w:customStyle="1" w:styleId="cat-UserDefinedgrp-111rplc-204">
    <w:name w:val="cat-UserDefined grp-111 rplc-204"/>
    <w:basedOn w:val="DefaultParagraphFont"/>
  </w:style>
  <w:style w:type="character" w:customStyle="1" w:styleId="cat-UserDefinedgrp-20rplc-206">
    <w:name w:val="cat-UserDefined grp-20 rplc-206"/>
    <w:basedOn w:val="DefaultParagraphFont"/>
  </w:style>
  <w:style w:type="character" w:customStyle="1" w:styleId="cat-UserDefinedgrp-82rplc-208">
    <w:name w:val="cat-UserDefined grp-82 rplc-208"/>
    <w:basedOn w:val="DefaultParagraphFont"/>
  </w:style>
  <w:style w:type="character" w:customStyle="1" w:styleId="cat-UserDefinedgrp-116rplc-210">
    <w:name w:val="cat-UserDefined grp-116 rplc-210"/>
    <w:basedOn w:val="DefaultParagraphFont"/>
  </w:style>
  <w:style w:type="character" w:customStyle="1" w:styleId="cat-UserDefinedgrp-83rplc-213">
    <w:name w:val="cat-UserDefined grp-83 rplc-213"/>
    <w:basedOn w:val="DefaultParagraphFont"/>
  </w:style>
  <w:style w:type="character" w:customStyle="1" w:styleId="cat-UserDefinedgrp-118rplc-214">
    <w:name w:val="cat-UserDefined grp-118 rplc-214"/>
    <w:basedOn w:val="DefaultParagraphFont"/>
  </w:style>
  <w:style w:type="character" w:customStyle="1" w:styleId="cat-UserDefinedgrp-117rplc-218">
    <w:name w:val="cat-UserDefined grp-117 rplc-218"/>
    <w:basedOn w:val="DefaultParagraphFont"/>
  </w:style>
  <w:style w:type="character" w:customStyle="1" w:styleId="cat-UserDefinedgrp-20rplc-220">
    <w:name w:val="cat-UserDefined grp-20 rplc-220"/>
    <w:basedOn w:val="DefaultParagraphFont"/>
  </w:style>
  <w:style w:type="character" w:customStyle="1" w:styleId="cat-UserDefinedgrp-20rplc-223">
    <w:name w:val="cat-UserDefined grp-20 rplc-223"/>
    <w:basedOn w:val="DefaultParagraphFont"/>
  </w:style>
  <w:style w:type="character" w:customStyle="1" w:styleId="cat-UserDefinedgrp-119rplc-224">
    <w:name w:val="cat-UserDefined grp-119 rplc-224"/>
    <w:basedOn w:val="DefaultParagraphFont"/>
  </w:style>
  <w:style w:type="character" w:customStyle="1" w:styleId="cat-UserDefinedgrp-87rplc-228">
    <w:name w:val="cat-UserDefined grp-87 rplc-228"/>
    <w:basedOn w:val="DefaultParagraphFont"/>
  </w:style>
  <w:style w:type="character" w:customStyle="1" w:styleId="cat-UserDefinedgrp-120rplc-232">
    <w:name w:val="cat-UserDefined grp-120 rplc-232"/>
    <w:basedOn w:val="DefaultParagraphFont"/>
  </w:style>
  <w:style w:type="character" w:customStyle="1" w:styleId="cat-UserDefinedgrp-121rplc-234">
    <w:name w:val="cat-UserDefined grp-121 rplc-234"/>
    <w:basedOn w:val="DefaultParagraphFont"/>
  </w:style>
  <w:style w:type="character" w:customStyle="1" w:styleId="cat-UserDefinedgrp-122rplc-235">
    <w:name w:val="cat-UserDefined grp-122 rplc-2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78499FD2582587BD27CC99EFED57292D3536CAD37D4DEF80FCAB207AB17DA6BA23AA70A139D1B02BF060DBF3D2A5505C5B99BB3B876o3P7I" TargetMode="External" /><Relationship Id="rId11" Type="http://schemas.openxmlformats.org/officeDocument/2006/relationships/hyperlink" Target="consultantplus://offline/ref=E78499FD2582587BD27CC99EFED57292D3536CAD37D4DEF80FCAB207AB17DA6BA23AA70C129F1402BF060DBF3D2A5505C5B99BB3B876o3P7I" TargetMode="External" /><Relationship Id="rId12" Type="http://schemas.openxmlformats.org/officeDocument/2006/relationships/hyperlink" Target="consultantplus://offline/ref=E78499FD2582587BD27CC99EFED57292D3536CAD37D4DEF80FCAB207AB17DA6BA23AA70816901002BF060DBF3D2A5505C5B99BB3B876o3P7I" TargetMode="External" /><Relationship Id="rId13" Type="http://schemas.openxmlformats.org/officeDocument/2006/relationships/hyperlink" Target="consultantplus://offline/ref=E78499FD2582587BD27CC99EFED57292D3536CAD37D4DEF80FCAB207AB17DA6BA23AA702129D195DBA131CE7302E4F1BC7A587B1BAo7P1I" TargetMode="External" /><Relationship Id="rId14" Type="http://schemas.openxmlformats.org/officeDocument/2006/relationships/hyperlink" Target="consultantplus://offline/ref=E78499FD2582587BD27CC99EFED57292D3536CAD37D4DEF80FCAB207AB17DA6BA23AA702109A1302BF060DBF3D2A5505C5B99BB3B876o3P7I" TargetMode="External" /><Relationship Id="rId15" Type="http://schemas.openxmlformats.org/officeDocument/2006/relationships/hyperlink" Target="consultantplus://offline/ref=E78499FD2582587BD27CC99EFED57292D3536CAD37D4DEF80FCAB207AB17DA6BA23AA70910991002BF060DBF3D2A5505C5B99BB3B876o3P7I" TargetMode="External" /><Relationship Id="rId16" Type="http://schemas.openxmlformats.org/officeDocument/2006/relationships/hyperlink" Target="consultantplus://offline/ref=E78499FD2582587BD27CC99EFED57292D3536CAD37D4DEF80FCAB207AB17DA6BA23AA7021D991A02BF060DBF3D2A5505C5B99BB3B876o3P7I" TargetMode="External" /><Relationship Id="rId17" Type="http://schemas.openxmlformats.org/officeDocument/2006/relationships/hyperlink" Target="consultantplus://offline/ref=E78499FD2582587BD27CC99EFED57292D3536CAD37D4DEF80FCAB207AB17DA6BA23AA70910991402BF060DBF3D2A5505C5B99BB3B876o3P7I" TargetMode="External" /><Relationship Id="rId18" Type="http://schemas.openxmlformats.org/officeDocument/2006/relationships/hyperlink" Target="consultantplus://offline/ref=E78499FD2582587BD27CC99EFED57292D3536CAD37D4DEF80FCAB207AB17DA6BA23AA70C16901102BF060DBF3D2A5505C5B99BB3B876o3P7I" TargetMode="External" /><Relationship Id="rId19" Type="http://schemas.openxmlformats.org/officeDocument/2006/relationships/hyperlink" Target="consultantplus://offline/ref=E78499FD2582587BD27CC99EFED57292D3536CAD37D4DEF80FCAB207AB17DA6BA23AA70A15901600E00318AE6527511FDBBB87AFBA7430o0PC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78499FD2582587BD27CC99EFED57292D3536CAD37D4DEF80FCAB207AB17DA6BA23AA70E179E1402BF060DBF3D2A5505C5B99BB3B876o3P7I" TargetMode="External" /><Relationship Id="rId21" Type="http://schemas.openxmlformats.org/officeDocument/2006/relationships/hyperlink" Target="consultantplus://offline/ref=E78499FD2582587BD27CC99EFED57292D3536CAD37D4DEF80FCAB207AB17DA6BA23AA70E17991602BF060DBF3D2A5505C5B99BB3B876o3P7I" TargetMode="External" /><Relationship Id="rId22" Type="http://schemas.openxmlformats.org/officeDocument/2006/relationships/hyperlink" Target="consultantplus://offline/ref=E78499FD2582587BD27CC99EFED57292D3536CAD37D4DEF80FCAB207AB17DA6BA23AA70A1599140BEA5C1DBB747F5C1BC1A585B3A676320BoAP3I" TargetMode="External" /><Relationship Id="rId23" Type="http://schemas.openxmlformats.org/officeDocument/2006/relationships/hyperlink" Target="consultantplus://offline/ref=E78499FD2582587BD27CC99EFED57292D3536CAD37D4DEF80FCAB207AB17DA6BA23AA70A159B130BE85C1DBB747F5C1BC1A585B3A676320BoAP3I" TargetMode="External" /><Relationship Id="rId24" Type="http://schemas.openxmlformats.org/officeDocument/2006/relationships/hyperlink" Target="consultantplus://offline/ref=E78499FD2582587BD27CC99EFED57292D3536CAD37D4DEF80FCAB207AB17DA6BA23AA70811991302BF060DBF3D2A5505C5B99BB3B876o3P7I" TargetMode="External" /><Relationship Id="rId25" Type="http://schemas.openxmlformats.org/officeDocument/2006/relationships/hyperlink" Target="consultantplus://offline/ref=E78499FD2582587BD27CC99EFED57292D3536CAD37D4DEF80FCAB207AB17DA6BA23AA70A15991401EF5C1DBB747F5C1BC1A585B3A676320BoAP3I" TargetMode="External" /><Relationship Id="rId26" Type="http://schemas.openxmlformats.org/officeDocument/2006/relationships/hyperlink" Target="consultantplus://offline/ref=E78499FD2582587BD27CC99EFED57292D3536CAD37D4DEF80FCAB207AB17DA6BA23AA70F1C9A1302BF060DBF3D2A5505C5B99BB3B876o3P7I" TargetMode="External" /><Relationship Id="rId27" Type="http://schemas.openxmlformats.org/officeDocument/2006/relationships/hyperlink" Target="consultantplus://offline/ref=E78499FD2582587BD27CC99EFED57292D3536CAD37D4DEF80FCAB207AB17DA6BA23AA70F17991402BF060DBF3D2A5505C5B99BB3B876o3P7I" TargetMode="External" /><Relationship Id="rId28" Type="http://schemas.openxmlformats.org/officeDocument/2006/relationships/hyperlink" Target="consultantplus://offline/ref=E78499FD2582587BD27CC99EFED57292D3536CAD37D4DEF80FCAB207AB17DA6BA23AA709139A1202BF060DBF3D2A5505C5B99BB3B876o3P7I" TargetMode="External" /><Relationship Id="rId29" Type="http://schemas.openxmlformats.org/officeDocument/2006/relationships/hyperlink" Target="consultantplus://offline/ref=E78499FD2582587BD27CC99EFED57292D3536CAD37D4DEF80FCAB207AB17DA6BA23AA70815901202BF060DBF3D2A5505C5B99BB3B876o3P7I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E78499FD2582587BD27CC99EFED57292D3536CAD37D4DEF80FCAB207AB17DA6BA23AA70A119C1202BF060DBF3D2A5505C5B99BB3B876o3P7I" TargetMode="External" /><Relationship Id="rId31" Type="http://schemas.openxmlformats.org/officeDocument/2006/relationships/hyperlink" Target="consultantplus://offline/ref=E78499FD2582587BD27CC99EFED57292D3536CAD37D4DEF80FCAB207AB17DA6BA23AA7091C9F1002BF060DBF3D2A5505C5B99BB3B876o3P7I" TargetMode="External" /><Relationship Id="rId32" Type="http://schemas.openxmlformats.org/officeDocument/2006/relationships/hyperlink" Target="consultantplus://offline/ref=E78499FD2582587BD27CC99EFED57292D3536CAD37D4DEF80FCAB207AB17DA6BA23AA7081D981602BF060DBF3D2A5505C5B99BB3B876o3P7I" TargetMode="External" /><Relationship Id="rId33" Type="http://schemas.openxmlformats.org/officeDocument/2006/relationships/hyperlink" Target="consultantplus://offline/ref=E78499FD2582587BD27CC99EFED57292D3536CAD37D4DEF80FCAB207AB17DA6BA23AA70D14991B02BF060DBF3D2A5505C5B99BB3B876o3P7I" TargetMode="External" /><Relationship Id="rId34" Type="http://schemas.openxmlformats.org/officeDocument/2006/relationships/hyperlink" Target="consultantplus://offline/ref=E78499FD2582587BD27CC99EFED57292D3536CAD37D4DEF80FCAB207AB17DA6BA23AA7081D991202BF060DBF3D2A5505C5B99BB3B876o3P7I" TargetMode="External" /><Relationship Id="rId35" Type="http://schemas.openxmlformats.org/officeDocument/2006/relationships/header" Target="header1.xml" /><Relationship Id="rId36" Type="http://schemas.openxmlformats.org/officeDocument/2006/relationships/glossaryDocument" Target="glossary/document.xml" /><Relationship Id="rId37" Type="http://schemas.openxmlformats.org/officeDocument/2006/relationships/styles" Target="styles.xml" /><Relationship Id="rId4" Type="http://schemas.openxmlformats.org/officeDocument/2006/relationships/hyperlink" Target="consultantplus://offline/ref=9C855CE04ADFB479FBD7F348927E32F5702B25A7A580F21724D0EE0B11DD3EC5BC2E04568975A3A980F5CC44F1R2A3I" TargetMode="External" /><Relationship Id="rId5" Type="http://schemas.openxmlformats.org/officeDocument/2006/relationships/hyperlink" Target="consultantplus://offline/ref=3FBA2E0E9B5D42750F3153B772E49D2BFD7E584B5F6784AA1FB7F60D20C76A510658B08EADB1E82AC7827CBF12462333D152AFD42A0F8941U663H" TargetMode="External" /><Relationship Id="rId6" Type="http://schemas.openxmlformats.org/officeDocument/2006/relationships/hyperlink" Target="consultantplus://offline/ref=3FBA2E0E9B5D42750F3153B772E49D2BFD7B58425A6484AA1FB7F60D20C76A510658B08EADB1E82BC4827CBF12462333D152AFD42A0F8941U663H" TargetMode="External" /><Relationship Id="rId7" Type="http://schemas.openxmlformats.org/officeDocument/2006/relationships/hyperlink" Target="https://www.consultant.ru/document/cons_doc_LAW_443766/af22f6ab34d6816e5a70f14347081e2c1bfce662/" TargetMode="External" /><Relationship Id="rId8" Type="http://schemas.openxmlformats.org/officeDocument/2006/relationships/hyperlink" Target="https://www.consultant.ru/document/cons_doc_LAW_443766/080d25276289006c381505fe470f240608f4ad77/" TargetMode="External" /><Relationship Id="rId9" Type="http://schemas.openxmlformats.org/officeDocument/2006/relationships/hyperlink" Target="https://www.consultant.ru/document/cons_doc_LAW_443766/5e8aae404b38ac1847d8e4b38a7758b4affe7d1a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B4775-9E4B-4753-BC41-1639F768806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